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R4-2501872</w:t>
      </w:r>
      <w:bookmarkStart w:id="5" w:name="_GoBack"/>
      <w:bookmarkEnd w:id="5"/>
      <w:r>
        <w:rPr>
          <w:rFonts w:hint="eastAsia" w:ascii="Arial" w:hAnsi="Arial" w:cs="Arial"/>
          <w:b/>
          <w:sz w:val="24"/>
          <w:szCs w:val="24"/>
        </w:rPr>
        <w:t xml:space="preserve">                         </w:t>
      </w:r>
    </w:p>
    <w:p w14:paraId="6410EA4B">
      <w:pPr>
        <w:tabs>
          <w:tab w:val="left" w:pos="1985"/>
        </w:tabs>
        <w:spacing w:after="180"/>
        <w:ind w:left="1980" w:hanging="1980"/>
        <w:rPr>
          <w:rFonts w:hint="eastAsia" w:ascii="Arial" w:hAnsi="Arial" w:cs="Arial"/>
          <w:b/>
          <w:sz w:val="24"/>
          <w:szCs w:val="24"/>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36267922">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7.12.1.2</w:t>
      </w:r>
    </w:p>
    <w:p w14:paraId="3777C7E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58D04A7">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UL-MIMO for ATG UE in Rel-19 </w:t>
      </w:r>
      <w:r>
        <w:rPr>
          <w:rFonts w:hint="eastAsia" w:ascii="Arial" w:hAnsi="Arial" w:cs="Arial"/>
          <w:b/>
          <w:sz w:val="24"/>
          <w:szCs w:val="24"/>
          <w:lang w:val="en-US" w:eastAsia="en-US"/>
        </w:rPr>
        <w:t xml:space="preserve"> </w:t>
      </w:r>
    </w:p>
    <w:p w14:paraId="568EDE5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184616F3">
      <w:pPr>
        <w:pStyle w:val="57"/>
        <w:tabs>
          <w:tab w:val="left" w:pos="567"/>
          <w:tab w:val="clear" w:pos="1985"/>
        </w:tabs>
        <w:adjustRightInd w:val="0"/>
        <w:ind w:left="510" w:hanging="510"/>
      </w:pPr>
      <w:r>
        <w:t>Introduction</w:t>
      </w:r>
    </w:p>
    <w:p w14:paraId="3A9A54E4">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last RAN4#110bis meeting, there were some initial discussions on ATG UE supporting UL MIMO, however there are lots of remaining issues. In this contribution, we would like to share further views on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6A6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934510B">
            <w:pPr>
              <w:keepNext w:val="0"/>
              <w:keepLines w:val="0"/>
              <w:suppressLineNumbers w:val="0"/>
              <w:spacing w:before="0" w:beforeAutospacing="0" w:afterAutospacing="0"/>
              <w:ind w:left="0" w:right="0"/>
              <w:rPr>
                <w:rFonts w:hint="default"/>
                <w:szCs w:val="24"/>
                <w:lang w:eastAsia="zh-CN"/>
              </w:rPr>
            </w:pPr>
            <w:r>
              <w:rPr>
                <w:rFonts w:hint="default"/>
                <w:b/>
                <w:color w:val="0070C0"/>
                <w:u w:val="single"/>
                <w:lang w:val="en-US" w:eastAsia="zh-CN"/>
              </w:rPr>
              <w:t>Issue 3-1-1: ULFPTx mode for UL-MIMO</w:t>
            </w:r>
          </w:p>
          <w:p w14:paraId="2C215CF5">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WF:</w:t>
            </w:r>
          </w:p>
          <w:p w14:paraId="35D98FA2">
            <w:pPr>
              <w:keepNext w:val="0"/>
              <w:keepLines w:val="0"/>
              <w:suppressLineNumbers w:val="0"/>
              <w:spacing w:before="0" w:beforeAutospacing="0" w:afterAutospacing="0"/>
              <w:ind w:left="420" w:right="0" w:hanging="420"/>
              <w:rPr>
                <w:rFonts w:hint="default"/>
                <w:szCs w:val="24"/>
                <w:lang w:eastAsia="zh-CN"/>
              </w:rPr>
            </w:pPr>
            <w:r>
              <w:rPr>
                <w:rFonts w:hint="default"/>
                <w:szCs w:val="24"/>
                <w:lang w:eastAsia="zh-CN"/>
              </w:rPr>
              <w:t>Consider whether and how to introduce this requirement.</w:t>
            </w:r>
          </w:p>
          <w:p w14:paraId="32A711DD">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 xml:space="preserve">Option 1: </w:t>
            </w:r>
            <w:r>
              <w:rPr>
                <w:rFonts w:hint="default" w:eastAsiaTheme="minorEastAsia"/>
                <w:lang w:eastAsia="zh-CN"/>
              </w:rPr>
              <w:t xml:space="preserve">ULFPTx mode 1/2/Full in </w:t>
            </w:r>
            <w:r>
              <w:rPr>
                <w:rFonts w:hint="eastAsia" w:eastAsiaTheme="minorEastAsia"/>
                <w:lang w:eastAsia="zh-CN"/>
              </w:rPr>
              <w:t>the following table</w:t>
            </w:r>
            <w:r>
              <w:rPr>
                <w:rFonts w:hint="default" w:eastAsiaTheme="minorEastAsia"/>
                <w:lang w:eastAsia="zh-CN"/>
              </w:rPr>
              <w:t xml:space="preserve"> can be supported depending on UE PA implementation</w:t>
            </w:r>
          </w:p>
          <w:p w14:paraId="4C3FEF25">
            <w:pPr>
              <w:pStyle w:val="47"/>
              <w:numPr>
                <w:ilvl w:val="0"/>
                <w:numId w:val="2"/>
              </w:numPr>
              <w:suppressLineNumbers w:val="0"/>
              <w:spacing w:beforeAutospacing="0" w:afterAutospacing="0"/>
              <w:ind w:right="0"/>
              <w:rPr>
                <w:rFonts w:hint="default"/>
                <w:lang w:val="en-US"/>
              </w:rPr>
            </w:pPr>
            <w:r>
              <w:rPr>
                <w:rFonts w:hint="default"/>
                <w:lang w:val="en-US"/>
              </w:rPr>
              <w:t xml:space="preserve">Table </w:t>
            </w:r>
            <w:r>
              <w:rPr>
                <w:rFonts w:hint="default"/>
                <w:lang w:val="en-US" w:eastAsia="zh-CN"/>
              </w:rPr>
              <w:t>2</w:t>
            </w:r>
            <w:r>
              <w:rPr>
                <w:rFonts w:hint="default"/>
                <w:lang w:val="en-US"/>
              </w:rPr>
              <w:t xml:space="preserve">: Example of ATG ULFPTx (R-MOP = </w:t>
            </w:r>
            <w:r>
              <w:rPr>
                <w:rFonts w:hint="eastAsia"/>
                <w:lang w:val="en-US" w:eastAsia="zh-CN"/>
              </w:rPr>
              <w:t xml:space="preserve">x </w:t>
            </w:r>
            <w:r>
              <w:rPr>
                <w:rFonts w:hint="default"/>
                <w:lang w:val="en-US"/>
              </w:rPr>
              <w:t>dBm)</w:t>
            </w:r>
          </w:p>
          <w:tbl>
            <w:tblPr>
              <w:tblStyle w:val="25"/>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14:paraId="3513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14:paraId="76D06BD7">
                  <w:pPr>
                    <w:pStyle w:val="37"/>
                    <w:suppressLineNumbers w:val="0"/>
                    <w:spacing w:before="0" w:beforeAutospacing="0" w:afterAutospacing="0"/>
                    <w:ind w:left="0" w:right="0"/>
                    <w:rPr>
                      <w:rFonts w:hint="default"/>
                    </w:rPr>
                  </w:pPr>
                  <w:r>
                    <w:rPr>
                      <w:rFonts w:hint="default"/>
                    </w:rPr>
                    <w:t>ATG ULFPTx mode</w:t>
                  </w:r>
                </w:p>
              </w:tc>
              <w:tc>
                <w:tcPr>
                  <w:tcW w:w="2081" w:type="dxa"/>
                  <w:shd w:val="clear" w:color="auto" w:fill="auto"/>
                  <w:vAlign w:val="center"/>
                </w:tcPr>
                <w:p w14:paraId="3AD2A3EF">
                  <w:pPr>
                    <w:pStyle w:val="37"/>
                    <w:suppressLineNumbers w:val="0"/>
                    <w:spacing w:before="0" w:beforeAutospacing="0" w:afterAutospacing="0"/>
                    <w:ind w:left="0" w:right="0"/>
                    <w:rPr>
                      <w:rFonts w:hint="default"/>
                    </w:rPr>
                  </w:pPr>
                  <w:r>
                    <w:rPr>
                      <w:rFonts w:hint="default"/>
                    </w:rPr>
                    <w:t>PA1(dBm)</w:t>
                  </w:r>
                </w:p>
              </w:tc>
              <w:tc>
                <w:tcPr>
                  <w:tcW w:w="2090" w:type="dxa"/>
                  <w:vAlign w:val="center"/>
                </w:tcPr>
                <w:p w14:paraId="65F0FBD5">
                  <w:pPr>
                    <w:pStyle w:val="37"/>
                    <w:suppressLineNumbers w:val="0"/>
                    <w:spacing w:before="0" w:beforeAutospacing="0" w:afterAutospacing="0"/>
                    <w:ind w:left="0" w:right="0"/>
                    <w:rPr>
                      <w:rFonts w:hint="default"/>
                    </w:rPr>
                  </w:pPr>
                  <w:r>
                    <w:rPr>
                      <w:rFonts w:hint="default"/>
                    </w:rPr>
                    <w:t>PA2(dBm)</w:t>
                  </w:r>
                </w:p>
              </w:tc>
            </w:tr>
            <w:tr w14:paraId="36DF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14:paraId="5195F0F5">
                  <w:pPr>
                    <w:pStyle w:val="38"/>
                    <w:suppressLineNumbers w:val="0"/>
                    <w:spacing w:before="0" w:beforeAutospacing="0" w:afterAutospacing="0"/>
                    <w:ind w:left="0" w:right="0"/>
                    <w:rPr>
                      <w:rFonts w:hint="default" w:eastAsia="CG Times (WN)" w:cs="Arial"/>
                    </w:rPr>
                  </w:pPr>
                  <w:r>
                    <w:rPr>
                      <w:rFonts w:hint="default" w:eastAsia="CG Times (WN)" w:cs="Arial"/>
                    </w:rPr>
                    <w:t>Mode2</w:t>
                  </w:r>
                </w:p>
              </w:tc>
              <w:tc>
                <w:tcPr>
                  <w:tcW w:w="2081" w:type="dxa"/>
                  <w:shd w:val="clear" w:color="auto" w:fill="auto"/>
                  <w:vAlign w:val="center"/>
                </w:tcPr>
                <w:p w14:paraId="7D98E945">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w:t>
                  </w:r>
                </w:p>
              </w:tc>
              <w:tc>
                <w:tcPr>
                  <w:tcW w:w="2090" w:type="dxa"/>
                  <w:shd w:val="clear" w:color="auto" w:fill="auto"/>
                  <w:vAlign w:val="center"/>
                </w:tcPr>
                <w:p w14:paraId="36CFF605">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(x-3)</w:t>
                  </w:r>
                  <w:r>
                    <w:rPr>
                      <w:rFonts w:hint="default" w:eastAsia="CG Times (WN)" w:cs="Arial"/>
                    </w:rPr>
                    <w:t>~</w:t>
                  </w:r>
                  <w:r>
                    <w:rPr>
                      <w:rFonts w:hint="eastAsia" w:cs="Arial" w:eastAsiaTheme="minorEastAsia"/>
                      <w:lang w:eastAsia="zh-CN"/>
                    </w:rPr>
                    <w:t>(x-1)</w:t>
                  </w:r>
                </w:p>
              </w:tc>
            </w:tr>
            <w:tr w14:paraId="5058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14:paraId="5C314DA5">
                  <w:pPr>
                    <w:pStyle w:val="38"/>
                    <w:suppressLineNumbers w:val="0"/>
                    <w:spacing w:before="0" w:beforeAutospacing="0" w:afterAutospacing="0"/>
                    <w:ind w:left="0" w:right="0"/>
                    <w:rPr>
                      <w:rFonts w:hint="default" w:eastAsia="CG Times (WN)" w:cs="Arial"/>
                    </w:rPr>
                  </w:pPr>
                  <w:r>
                    <w:rPr>
                      <w:rFonts w:hint="default" w:eastAsia="CG Times (WN)" w:cs="Arial"/>
                    </w:rPr>
                    <w:t>Mode-Full</w:t>
                  </w:r>
                </w:p>
              </w:tc>
              <w:tc>
                <w:tcPr>
                  <w:tcW w:w="2081" w:type="dxa"/>
                  <w:shd w:val="clear" w:color="auto" w:fill="auto"/>
                  <w:vAlign w:val="center"/>
                </w:tcPr>
                <w:p w14:paraId="308A4A1C">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w:t>
                  </w:r>
                </w:p>
              </w:tc>
              <w:tc>
                <w:tcPr>
                  <w:tcW w:w="2090" w:type="dxa"/>
                  <w:shd w:val="clear" w:color="auto" w:fill="auto"/>
                  <w:vAlign w:val="center"/>
                </w:tcPr>
                <w:p w14:paraId="1BC061AD">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w:t>
                  </w:r>
                </w:p>
              </w:tc>
            </w:tr>
            <w:tr w14:paraId="0601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14:paraId="147244FC">
                  <w:pPr>
                    <w:pStyle w:val="38"/>
                    <w:suppressLineNumbers w:val="0"/>
                    <w:spacing w:before="0" w:beforeAutospacing="0" w:afterAutospacing="0"/>
                    <w:ind w:left="0" w:right="0"/>
                    <w:rPr>
                      <w:rFonts w:hint="default" w:cs="Arial" w:eastAsiaTheme="minorEastAsia"/>
                      <w:lang w:eastAsia="ko-KR"/>
                    </w:rPr>
                  </w:pPr>
                  <w:r>
                    <w:rPr>
                      <w:rFonts w:hint="eastAsia" w:cs="Arial" w:eastAsiaTheme="minorEastAsia"/>
                      <w:lang w:eastAsia="ko-KR"/>
                    </w:rPr>
                    <w:t>Mode1</w:t>
                  </w:r>
                </w:p>
              </w:tc>
              <w:tc>
                <w:tcPr>
                  <w:tcW w:w="2081" w:type="dxa"/>
                  <w:shd w:val="clear" w:color="auto" w:fill="auto"/>
                  <w:vAlign w:val="center"/>
                </w:tcPr>
                <w:p w14:paraId="1326716E">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w:t>
                  </w:r>
                  <w:r>
                    <w:rPr>
                      <w:rFonts w:hint="default" w:cs="Arial" w:eastAsiaTheme="minorEastAsia"/>
                      <w:lang w:eastAsia="ko-KR"/>
                    </w:rPr>
                    <w:t>x-3</w:t>
                  </w:r>
                  <w:r>
                    <w:rPr>
                      <w:rFonts w:hint="eastAsia" w:cs="Arial" w:eastAsiaTheme="minorEastAsia"/>
                      <w:lang w:eastAsia="zh-CN"/>
                    </w:rPr>
                    <w:t>)</w:t>
                  </w:r>
                  <w:r>
                    <w:rPr>
                      <w:rFonts w:hint="default" w:cs="Arial" w:eastAsiaTheme="minorEastAsia"/>
                      <w:lang w:eastAsia="ko-KR"/>
                    </w:rPr>
                    <w:t>~</w:t>
                  </w:r>
                  <w:r>
                    <w:rPr>
                      <w:rFonts w:hint="eastAsia" w:cs="Arial" w:eastAsiaTheme="minorEastAsia"/>
                      <w:lang w:eastAsia="zh-CN"/>
                    </w:rPr>
                    <w:t>(</w:t>
                  </w:r>
                  <w:r>
                    <w:rPr>
                      <w:rFonts w:hint="default" w:cs="Arial" w:eastAsiaTheme="minorEastAsia"/>
                      <w:lang w:eastAsia="ko-KR"/>
                    </w:rPr>
                    <w:t>x-1</w:t>
                  </w:r>
                  <w:r>
                    <w:rPr>
                      <w:rFonts w:hint="eastAsia" w:cs="Arial" w:eastAsiaTheme="minorEastAsia"/>
                      <w:lang w:eastAsia="zh-CN"/>
                    </w:rPr>
                    <w:t>)</w:t>
                  </w:r>
                </w:p>
              </w:tc>
              <w:tc>
                <w:tcPr>
                  <w:tcW w:w="2090" w:type="dxa"/>
                  <w:shd w:val="clear" w:color="auto" w:fill="auto"/>
                  <w:vAlign w:val="center"/>
                </w:tcPr>
                <w:p w14:paraId="27544BA2">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w:t>
                  </w:r>
                  <w:r>
                    <w:rPr>
                      <w:rFonts w:hint="default" w:cs="Arial" w:eastAsiaTheme="minorEastAsia"/>
                      <w:lang w:eastAsia="ko-KR"/>
                    </w:rPr>
                    <w:t>x-3</w:t>
                  </w:r>
                  <w:r>
                    <w:rPr>
                      <w:rFonts w:hint="eastAsia" w:cs="Arial" w:eastAsiaTheme="minorEastAsia"/>
                      <w:lang w:eastAsia="zh-CN"/>
                    </w:rPr>
                    <w:t>)</w:t>
                  </w:r>
                  <w:r>
                    <w:rPr>
                      <w:rFonts w:hint="default" w:cs="Arial" w:eastAsiaTheme="minorEastAsia"/>
                      <w:lang w:eastAsia="ko-KR"/>
                    </w:rPr>
                    <w:t>~</w:t>
                  </w:r>
                  <w:r>
                    <w:rPr>
                      <w:rFonts w:hint="eastAsia" w:cs="Arial" w:eastAsiaTheme="minorEastAsia"/>
                      <w:lang w:eastAsia="zh-CN"/>
                    </w:rPr>
                    <w:t>(</w:t>
                  </w:r>
                  <w:r>
                    <w:rPr>
                      <w:rFonts w:hint="default" w:cs="Arial" w:eastAsiaTheme="minorEastAsia"/>
                      <w:lang w:eastAsia="ko-KR"/>
                    </w:rPr>
                    <w:t>x-1</w:t>
                  </w:r>
                  <w:r>
                    <w:rPr>
                      <w:rFonts w:hint="eastAsia" w:cs="Arial" w:eastAsiaTheme="minorEastAsia"/>
                      <w:lang w:eastAsia="zh-CN"/>
                    </w:rPr>
                    <w:t>)</w:t>
                  </w:r>
                </w:p>
              </w:tc>
            </w:tr>
          </w:tbl>
          <w:p w14:paraId="53D75DC1">
            <w:pPr>
              <w:keepNext w:val="0"/>
              <w:keepLines w:val="0"/>
              <w:suppressLineNumbers w:val="0"/>
              <w:spacing w:before="0" w:beforeAutospacing="0" w:after="120" w:afterAutospacing="0"/>
              <w:ind w:left="0" w:right="0"/>
              <w:rPr>
                <w:rFonts w:hint="default" w:eastAsiaTheme="minorEastAsia"/>
                <w:lang w:eastAsia="zh-CN"/>
              </w:rPr>
            </w:pPr>
          </w:p>
          <w:p w14:paraId="50A3AA36">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 xml:space="preserve">Option 2: Current ULFPTx mode requirements for legacy UE in TS38.101-1 can be reused for ATG UE, and there is no other </w:t>
            </w:r>
            <w:r>
              <w:rPr>
                <w:rFonts w:hint="default" w:eastAsiaTheme="minorEastAsia"/>
                <w:lang w:eastAsia="zh-CN"/>
              </w:rPr>
              <w:t>specification</w:t>
            </w:r>
            <w:r>
              <w:rPr>
                <w:rFonts w:hint="eastAsia" w:eastAsiaTheme="minorEastAsia"/>
                <w:lang w:eastAsia="zh-CN"/>
              </w:rPr>
              <w:t xml:space="preserve"> affect.</w:t>
            </w:r>
          </w:p>
          <w:p w14:paraId="731CE9F2">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3: N</w:t>
            </w:r>
            <w:r>
              <w:rPr>
                <w:rFonts w:hint="default" w:eastAsiaTheme="minorEastAsia"/>
                <w:lang w:eastAsia="zh-CN"/>
              </w:rPr>
              <w:t>o need to extend ULFPTx mode to ATG UE</w:t>
            </w:r>
            <w:r>
              <w:rPr>
                <w:rFonts w:hint="eastAsia" w:eastAsiaTheme="minorEastAsia"/>
                <w:lang w:eastAsia="zh-CN"/>
              </w:rPr>
              <w:t>.</w:t>
            </w:r>
          </w:p>
          <w:p w14:paraId="057E578A">
            <w:pPr>
              <w:keepNext w:val="0"/>
              <w:keepLines w:val="0"/>
              <w:suppressLineNumbers w:val="0"/>
              <w:spacing w:before="0" w:beforeAutospacing="0" w:after="120" w:afterAutospacing="0"/>
              <w:ind w:left="0" w:right="0"/>
              <w:rPr>
                <w:rFonts w:hint="default" w:eastAsiaTheme="minorEastAsia"/>
                <w:lang w:eastAsia="zh-CN"/>
              </w:rPr>
            </w:pPr>
          </w:p>
          <w:p w14:paraId="604E0583">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val="en-US" w:eastAsia="zh-CN"/>
              </w:rPr>
              <w:t xml:space="preserve">Issue </w:t>
            </w:r>
            <w:r>
              <w:rPr>
                <w:rFonts w:hint="eastAsia"/>
                <w:b/>
                <w:color w:val="0070C0"/>
                <w:u w:val="single"/>
                <w:lang w:val="en-US" w:eastAsia="zh-CN"/>
              </w:rPr>
              <w:t>3</w:t>
            </w:r>
            <w:r>
              <w:rPr>
                <w:rFonts w:hint="default"/>
                <w:b/>
                <w:color w:val="0070C0"/>
                <w:u w:val="single"/>
                <w:lang w:val="en-US" w:eastAsia="zh-CN"/>
              </w:rPr>
              <w:t>-1-2: whether preclude the single antenna port related requirement</w:t>
            </w:r>
          </w:p>
          <w:p w14:paraId="524840F7">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WF:</w:t>
            </w:r>
          </w:p>
          <w:p w14:paraId="05D3ED9E">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1: Yes.</w:t>
            </w:r>
          </w:p>
          <w:p w14:paraId="7070273F">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2: No.</w:t>
            </w:r>
          </w:p>
          <w:p w14:paraId="45EE27E1">
            <w:pPr>
              <w:keepNext w:val="0"/>
              <w:keepLines w:val="0"/>
              <w:suppressLineNumbers w:val="0"/>
              <w:spacing w:before="0" w:beforeAutospacing="0" w:after="120" w:afterAutospacing="0"/>
              <w:ind w:left="0" w:right="0"/>
              <w:rPr>
                <w:rFonts w:hint="default" w:eastAsiaTheme="minorEastAsia"/>
                <w:lang w:eastAsia="zh-CN"/>
              </w:rPr>
            </w:pPr>
          </w:p>
          <w:p w14:paraId="5CF20BCE">
            <w:pPr>
              <w:keepNext w:val="0"/>
              <w:keepLines w:val="0"/>
              <w:suppressLineNumbers w:val="0"/>
              <w:spacing w:before="0" w:beforeAutospacing="0" w:afterAutospacing="0"/>
              <w:ind w:left="0" w:right="0"/>
              <w:rPr>
                <w:rFonts w:hint="default"/>
                <w:b/>
                <w:color w:val="0070C0"/>
                <w:u w:val="single"/>
                <w:lang w:eastAsia="ko-KR"/>
              </w:rPr>
            </w:pPr>
            <w:r>
              <w:rPr>
                <w:rFonts w:hint="default"/>
                <w:b/>
                <w:color w:val="0070C0"/>
                <w:u w:val="single"/>
                <w:lang w:eastAsia="ko-KR"/>
              </w:rPr>
              <w:t xml:space="preserve">Issue </w:t>
            </w:r>
            <w:r>
              <w:rPr>
                <w:rFonts w:hint="eastAsia"/>
                <w:b/>
                <w:color w:val="0070C0"/>
                <w:u w:val="single"/>
                <w:lang w:eastAsia="zh-CN"/>
              </w:rPr>
              <w:t>3</w:t>
            </w:r>
            <w:r>
              <w:rPr>
                <w:rFonts w:hint="default"/>
                <w:b/>
                <w:color w:val="0070C0"/>
                <w:u w:val="single"/>
                <w:lang w:eastAsia="ko-KR"/>
              </w:rPr>
              <w:t>-2-1: how to modify the NR UL MIMO requirement with ATG capability antennaArrayType-r18</w:t>
            </w:r>
          </w:p>
          <w:tbl>
            <w:tblPr>
              <w:tblStyle w:val="26"/>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6"/>
            </w:tblGrid>
            <w:tr w14:paraId="11249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CB88CF6">
                  <w:pPr>
                    <w:keepNext w:val="0"/>
                    <w:keepLines w:val="0"/>
                    <w:suppressLineNumbers w:val="0"/>
                    <w:overflowPunct w:val="0"/>
                    <w:autoSpaceDE w:val="0"/>
                    <w:autoSpaceDN w:val="0"/>
                    <w:adjustRightInd w:val="0"/>
                    <w:spacing w:before="0" w:beforeAutospacing="0" w:afterAutospacing="0"/>
                    <w:ind w:left="420" w:right="0" w:hanging="420"/>
                    <w:textAlignment w:val="baseline"/>
                    <w:rPr>
                      <w:rFonts w:hint="default" w:eastAsia="Yu Mincho"/>
                      <w:szCs w:val="24"/>
                      <w:lang w:eastAsia="zh-CN"/>
                    </w:rPr>
                  </w:pPr>
                  <w:r>
                    <w:rPr>
                      <w:rFonts w:hint="eastAsia" w:eastAsia="Yu Mincho"/>
                      <w:szCs w:val="24"/>
                      <w:lang w:eastAsia="zh-CN"/>
                    </w:rPr>
                    <w:t>A</w:t>
                  </w:r>
                  <w:r>
                    <w:rPr>
                      <w:rFonts w:hint="default" w:eastAsia="Yu Mincho"/>
                      <w:szCs w:val="24"/>
                      <w:lang w:eastAsia="zh-CN"/>
                    </w:rPr>
                    <w:t>greement</w:t>
                  </w:r>
                  <w:r>
                    <w:rPr>
                      <w:rFonts w:hint="eastAsia" w:eastAsia="Yu Mincho"/>
                      <w:szCs w:val="24"/>
                      <w:lang w:eastAsia="zh-CN"/>
                    </w:rPr>
                    <w:t xml:space="preserve"> in RAN4#102 meeting</w:t>
                  </w:r>
                  <w:r>
                    <w:rPr>
                      <w:rFonts w:hint="default" w:eastAsia="Yu Mincho"/>
                      <w:szCs w:val="24"/>
                      <w:lang w:eastAsia="zh-CN"/>
                    </w:rPr>
                    <w:t xml:space="preserve">: </w:t>
                  </w:r>
                </w:p>
                <w:p w14:paraId="1B3600C8">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If the legacy requirement for UL MIMO is defined at each antenna connector,</w:t>
                  </w:r>
                </w:p>
                <w:p w14:paraId="6B77D543">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For ATG UE with antenna array, the requirement should be updated [at each TAB connector].</w:t>
                  </w:r>
                </w:p>
                <w:p w14:paraId="6D6BBD79">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If the legacy requirement for UL MIMO is defined per layer, FFS</w:t>
                  </w:r>
                </w:p>
                <w:p w14:paraId="1C871394">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1: for ATG UE with capability antennaArrayType-r18, the requirement should be updated as sum of all TAB connectors per layer.</w:t>
                  </w:r>
                </w:p>
                <w:p w14:paraId="7C0D4DA5">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Option 2: for ATG UE with capability antennaArrayType-r18, the requirement should be updated per layer without explicitly emphasize the TAB connector</w:t>
                  </w:r>
                  <w:r>
                    <w:rPr>
                      <w:rFonts w:hint="eastAsia" w:eastAsiaTheme="minorEastAsia"/>
                      <w:lang w:eastAsia="zh-CN"/>
                    </w:rPr>
                    <w:t>.</w:t>
                  </w:r>
                </w:p>
              </w:tc>
            </w:tr>
          </w:tbl>
          <w:p w14:paraId="32C15E97">
            <w:pPr>
              <w:keepNext w:val="0"/>
              <w:keepLines w:val="0"/>
              <w:suppressLineNumbers w:val="0"/>
              <w:spacing w:before="0" w:beforeAutospacing="0" w:after="120" w:afterAutospacing="0"/>
              <w:ind w:left="0" w:right="0"/>
              <w:rPr>
                <w:rFonts w:hint="default"/>
                <w:szCs w:val="24"/>
                <w:lang w:eastAsia="zh-CN"/>
              </w:rPr>
            </w:pPr>
          </w:p>
          <w:p w14:paraId="2992937D">
            <w:pPr>
              <w:keepNext w:val="0"/>
              <w:keepLines w:val="0"/>
              <w:suppressLineNumbers w:val="0"/>
              <w:spacing w:before="0" w:beforeAutospacing="0" w:after="120" w:afterAutospacing="0"/>
              <w:ind w:left="0" w:right="0"/>
              <w:rPr>
                <w:rFonts w:hint="default" w:eastAsiaTheme="minorEastAsia"/>
                <w:lang w:eastAsia="zh-CN"/>
              </w:rPr>
            </w:pPr>
            <w:r>
              <w:rPr>
                <w:rFonts w:hint="default" w:eastAsiaTheme="minorEastAsia"/>
                <w:lang w:eastAsia="zh-CN"/>
              </w:rPr>
              <w:t>Agreement:</w:t>
            </w:r>
          </w:p>
          <w:p w14:paraId="69A4B72A">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If the legacy requirement for UL MIMO is defined at each antenna connector,</w:t>
            </w:r>
          </w:p>
          <w:p w14:paraId="71C2F054">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For ATG UE with antenna array, the requirement should be updated at each TAB connector</w:t>
            </w:r>
          </w:p>
          <w:p w14:paraId="38A4598E">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If the legacy requirement for UL MIMO is defined per layer</w:t>
            </w:r>
          </w:p>
          <w:p w14:paraId="53EE6DC2">
            <w:pPr>
              <w:pStyle w:val="36"/>
              <w:keepNext w:val="0"/>
              <w:keepLines w:val="0"/>
              <w:numPr>
                <w:ilvl w:val="1"/>
                <w:numId w:val="2"/>
              </w:numPr>
              <w:suppressLineNumbers w:val="0"/>
              <w:spacing w:before="0" w:beforeAutospacing="0" w:after="120" w:afterAutospacing="0"/>
              <w:ind w:right="0" w:firstLineChars="0"/>
              <w:rPr>
                <w:rFonts w:hint="default"/>
                <w:vertAlign w:val="baseline"/>
                <w:lang w:val="en-US" w:eastAsia="zh-CN"/>
              </w:rPr>
            </w:pPr>
            <w:r>
              <w:rPr>
                <w:rFonts w:hint="default" w:eastAsiaTheme="minorEastAsia"/>
                <w:lang w:eastAsia="zh-CN"/>
              </w:rPr>
              <w:t>for ATG UE with capability antennaArrayType-r18, the requirement should be updated as sum of all TAB connectors per layer</w:t>
            </w:r>
          </w:p>
        </w:tc>
      </w:tr>
    </w:tbl>
    <w:p w14:paraId="6E4E36C8">
      <w:pPr>
        <w:tabs>
          <w:tab w:val="left" w:pos="2127"/>
        </w:tabs>
        <w:spacing w:after="0"/>
        <w:rPr>
          <w:rFonts w:hint="default"/>
          <w:lang w:val="en-US" w:eastAsia="zh-CN"/>
        </w:rPr>
      </w:pPr>
    </w:p>
    <w:p w14:paraId="2DF723BC">
      <w:pPr>
        <w:pStyle w:val="57"/>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lang w:val="en-US" w:eastAsia="zh-CN"/>
        </w:rPr>
        <w:t>Discussion</w:t>
      </w:r>
      <w:r>
        <w:rPr>
          <w:rFonts w:hint="eastAsia" w:eastAsia="Times New Roman"/>
        </w:rPr>
        <w:t xml:space="preserve"> </w:t>
      </w:r>
    </w:p>
    <w:p w14:paraId="544EF8B6">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lang w:val="en-US" w:eastAsia="zh-CN"/>
        </w:rPr>
      </w:pPr>
      <w:r>
        <w:rPr>
          <w:rFonts w:hint="eastAsia"/>
          <w:sz w:val="28"/>
          <w:szCs w:val="28"/>
          <w:lang w:val="en-US" w:eastAsia="zh-CN"/>
        </w:rPr>
        <w:t>2.1. RF requirements for UL MIMO</w:t>
      </w:r>
      <w:r>
        <w:rPr>
          <w:rFonts w:hint="eastAsia" w:eastAsia="Times New Roman"/>
          <w:sz w:val="28"/>
          <w:szCs w:val="28"/>
        </w:rPr>
        <w:t xml:space="preserve"> </w:t>
      </w:r>
    </w:p>
    <w:p w14:paraId="1D186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During the previous RAN4 meetings, we have some initial discussion on ULFPTx mode, as shown in the following diagrams extracted from TR 38.837, </w:t>
      </w:r>
    </w:p>
    <w:p w14:paraId="51FDFF3B">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Rel-16 ULFPTx mode 1 is targeted for single layer transmission with two antenna ports instead of two layers transmission. </w:t>
      </w:r>
    </w:p>
    <w:p w14:paraId="6FA454D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default" w:cs="Times New Roman"/>
          <w:i w:val="0"/>
          <w:iCs w:val="0"/>
          <w:caps w:val="0"/>
          <w:spacing w:val="0"/>
          <w:sz w:val="21"/>
          <w:szCs w:val="22"/>
          <w:highlight w:val="none"/>
          <w:shd w:val="clear"/>
          <w:lang w:val="en-US" w:eastAsia="zh-CN"/>
        </w:rPr>
        <w:t xml:space="preserve">ULFPTx Mode 2 Mechanism-1 </w:t>
      </w:r>
      <w:r>
        <w:rPr>
          <w:rFonts w:hint="eastAsia" w:cs="Times New Roman"/>
          <w:i w:val="0"/>
          <w:iCs w:val="0"/>
          <w:caps w:val="0"/>
          <w:spacing w:val="0"/>
          <w:sz w:val="21"/>
          <w:szCs w:val="22"/>
          <w:highlight w:val="none"/>
          <w:shd w:val="clear"/>
          <w:lang w:val="en-US" w:eastAsia="zh-CN"/>
        </w:rPr>
        <w:t xml:space="preserve">is targeted for SRS port virtualization and </w:t>
      </w:r>
      <w:r>
        <w:rPr>
          <w:rFonts w:hint="default" w:cs="Times New Roman"/>
          <w:i w:val="0"/>
          <w:iCs w:val="0"/>
          <w:caps w:val="0"/>
          <w:spacing w:val="0"/>
          <w:sz w:val="21"/>
          <w:szCs w:val="22"/>
          <w:highlight w:val="none"/>
          <w:shd w:val="clear"/>
          <w:lang w:val="en-US" w:eastAsia="zh-CN"/>
        </w:rPr>
        <w:t xml:space="preserve">ULFPTx Mode 2 Mechanism-2 </w:t>
      </w:r>
      <w:r>
        <w:rPr>
          <w:rFonts w:hint="eastAsia" w:cs="Times New Roman"/>
          <w:i w:val="0"/>
          <w:iCs w:val="0"/>
          <w:caps w:val="0"/>
          <w:spacing w:val="0"/>
          <w:sz w:val="21"/>
          <w:szCs w:val="22"/>
          <w:highlight w:val="none"/>
          <w:shd w:val="clear"/>
          <w:lang w:val="en-US" w:eastAsia="zh-CN"/>
        </w:rPr>
        <w:t xml:space="preserve">is targeted for single layer transmission with single antenna port. </w:t>
      </w:r>
    </w:p>
    <w:p w14:paraId="104E9B02">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default" w:cs="Times New Roman"/>
          <w:i w:val="0"/>
          <w:iCs w:val="0"/>
          <w:caps w:val="0"/>
          <w:spacing w:val="0"/>
          <w:sz w:val="21"/>
          <w:szCs w:val="22"/>
          <w:highlight w:val="none"/>
          <w:shd w:val="clear"/>
          <w:lang w:val="en-US" w:eastAsia="zh-CN"/>
        </w:rPr>
        <w:t xml:space="preserve">ULFPTx Mode </w:t>
      </w:r>
      <w:r>
        <w:rPr>
          <w:rFonts w:hint="eastAsia" w:cs="Times New Roman"/>
          <w:i w:val="0"/>
          <w:iCs w:val="0"/>
          <w:caps w:val="0"/>
          <w:spacing w:val="0"/>
          <w:sz w:val="21"/>
          <w:szCs w:val="22"/>
          <w:highlight w:val="none"/>
          <w:shd w:val="clear"/>
          <w:lang w:val="en-US" w:eastAsia="zh-CN"/>
        </w:rPr>
        <w:t>0</w:t>
      </w:r>
      <w:r>
        <w:rPr>
          <w:rFonts w:hint="default" w:cs="Times New Roman"/>
          <w:i w:val="0"/>
          <w:iCs w:val="0"/>
          <w:caps w:val="0"/>
          <w:spacing w:val="0"/>
          <w:sz w:val="21"/>
          <w:szCs w:val="22"/>
          <w:highlight w:val="none"/>
          <w:shd w:val="clear"/>
          <w:lang w:val="en-US" w:eastAsia="zh-CN"/>
        </w:rPr>
        <w:t xml:space="preserve"> </w:t>
      </w:r>
      <w:r>
        <w:rPr>
          <w:rFonts w:hint="eastAsia" w:cs="Times New Roman"/>
          <w:i w:val="0"/>
          <w:iCs w:val="0"/>
          <w:caps w:val="0"/>
          <w:spacing w:val="0"/>
          <w:sz w:val="21"/>
          <w:szCs w:val="22"/>
          <w:highlight w:val="none"/>
          <w:shd w:val="clear"/>
          <w:lang w:val="en-US" w:eastAsia="zh-CN"/>
        </w:rPr>
        <w:t xml:space="preserve">is targeted for single layer transmission with single antenna port. </w:t>
      </w:r>
    </w:p>
    <w:p w14:paraId="55F9D369">
      <w:pPr>
        <w:keepNext w:val="0"/>
        <w:keepLines w:val="0"/>
        <w:widowControl/>
        <w:suppressLineNumbers w:val="0"/>
        <w:spacing w:before="0" w:beforeAutospacing="0" w:afterAutospacing="0"/>
        <w:ind w:left="0" w:right="0"/>
        <w:jc w:val="left"/>
        <w:rPr>
          <w:rFonts w:hint="default"/>
          <w:color w:val="000000"/>
          <w:highlight w:val="none"/>
          <w:lang w:val="en-US" w:eastAsia="zh-CN"/>
        </w:rPr>
      </w:pPr>
      <w:r>
        <w:rPr>
          <w:rFonts w:hint="eastAsia"/>
          <w:color w:val="000000"/>
          <w:highlight w:val="none"/>
          <w:lang w:val="en-US" w:eastAsia="zh-CN"/>
        </w:rPr>
        <w:t>From our understanding, ATG UE with UL MIMO is targeted for two layer transmission instead of single layer transmission to enhance the uplink capacity instead of uplink coverage improvement.</w:t>
      </w:r>
    </w:p>
    <w:p w14:paraId="3F8C7898">
      <w:pPr>
        <w:pStyle w:val="47"/>
        <w:suppressLineNumbers w:val="0"/>
        <w:spacing w:beforeAutospacing="0" w:afterAutospacing="0"/>
        <w:ind w:left="0" w:right="0"/>
        <w:rPr>
          <w:rFonts w:hint="default" w:asciiTheme="minorHAnsi" w:hAnsiTheme="minorHAnsi" w:cstheme="minorHAnsi"/>
          <w:color w:val="000000"/>
          <w:lang w:eastAsia="zh-CN"/>
        </w:rPr>
      </w:pPr>
      <w:r>
        <w:rPr>
          <w:rFonts w:hint="default"/>
          <w:lang w:val="en-US" w:eastAsia="zh-CN"/>
        </w:rPr>
        <w:drawing>
          <wp:inline distT="0" distB="0" distL="0" distR="0">
            <wp:extent cx="4636770" cy="1304290"/>
            <wp:effectExtent l="0" t="0" r="1143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tretch>
                      <a:fillRect/>
                    </a:stretch>
                  </pic:blipFill>
                  <pic:spPr>
                    <a:xfrm>
                      <a:off x="0" y="0"/>
                      <a:ext cx="4636770" cy="1304290"/>
                    </a:xfrm>
                    <a:prstGeom prst="rect">
                      <a:avLst/>
                    </a:prstGeom>
                  </pic:spPr>
                </pic:pic>
              </a:graphicData>
            </a:graphic>
          </wp:inline>
        </w:drawing>
      </w:r>
    </w:p>
    <w:p w14:paraId="0347CFB5">
      <w:pPr>
        <w:pStyle w:val="51"/>
        <w:suppressLineNumbers w:val="0"/>
        <w:spacing w:beforeAutospacing="0" w:afterAutospacing="0"/>
        <w:ind w:left="0" w:right="0"/>
        <w:rPr>
          <w:rFonts w:hint="default"/>
          <w:highlight w:val="none"/>
          <w:lang w:eastAsia="zh-CN"/>
        </w:rPr>
      </w:pPr>
      <w:r>
        <w:rPr>
          <w:rFonts w:hint="default"/>
          <w:highlight w:val="none"/>
          <w:lang w:eastAsia="zh-CN"/>
        </w:rPr>
        <w:t>Fig. 5.3.3.1-1. Illustration of Rel-16 ULFPTx Mode 1</w:t>
      </w:r>
    </w:p>
    <w:p w14:paraId="08C4B5CD">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ULFPTx Mode 2 Mechanism-1 (SRS port virtualization):</w:t>
      </w:r>
    </w:p>
    <w:p w14:paraId="2A4DCE1E">
      <w:pPr>
        <w:pStyle w:val="36"/>
        <w:keepNext w:val="0"/>
        <w:keepLines w:val="0"/>
        <w:suppressLineNumbers w:val="0"/>
        <w:spacing w:before="0" w:beforeAutospacing="0" w:afterAutospacing="0"/>
        <w:ind w:left="0" w:leftChars="0" w:right="0" w:firstLine="0" w:firstLineChars="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4892675" cy="1493520"/>
            <wp:effectExtent l="0" t="0" r="317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4892675" cy="1493520"/>
                    </a:xfrm>
                    <a:prstGeom prst="rect">
                      <a:avLst/>
                    </a:prstGeom>
                  </pic:spPr>
                </pic:pic>
              </a:graphicData>
            </a:graphic>
          </wp:inline>
        </w:drawing>
      </w:r>
    </w:p>
    <w:p w14:paraId="68DDF509">
      <w:pPr>
        <w:keepNext w:val="0"/>
        <w:keepLines w:val="0"/>
        <w:suppressLineNumbers w:val="0"/>
        <w:spacing w:before="120" w:beforeAutospacing="0" w:after="0" w:afterAutospacing="0"/>
        <w:ind w:left="0" w:right="0"/>
        <w:jc w:val="center"/>
        <w:rPr>
          <w:rFonts w:hint="default" w:asciiTheme="minorHAnsi" w:hAnsiTheme="minorHAnsi" w:cstheme="minorHAnsi"/>
          <w:color w:val="000000"/>
          <w:highlight w:val="none"/>
          <w:lang w:eastAsia="zh-CN"/>
        </w:rPr>
      </w:pPr>
      <w:r>
        <w:rPr>
          <w:rFonts w:hint="default"/>
          <w:color w:val="000000"/>
          <w:highlight w:val="none"/>
          <w:lang w:eastAsia="zh-CN"/>
        </w:rPr>
        <w:t>Fig. 5.3.3.2-1. Illustration of Rel-16 ULFPTx Mode 2 (Mechanism-1, SRS port virtualization)</w:t>
      </w:r>
    </w:p>
    <w:p w14:paraId="0A88B989">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 xml:space="preserve">ULFPTx Mode 2 Mechanism-2 (TPMI indication): </w:t>
      </w:r>
    </w:p>
    <w:p w14:paraId="14B151F6">
      <w:pPr>
        <w:keepNext w:val="0"/>
        <w:keepLines w:val="0"/>
        <w:suppressLineNumbers w:val="0"/>
        <w:spacing w:before="0" w:beforeAutospacing="0" w:afterAutospacing="0"/>
        <w:ind w:left="0" w:right="0"/>
        <w:jc w:val="center"/>
        <w:rPr>
          <w:rFonts w:hint="default"/>
          <w:color w:val="1F497D"/>
          <w:highlight w:val="none"/>
        </w:rPr>
      </w:pPr>
      <w:r>
        <w:rPr>
          <w:rFonts w:hint="default"/>
          <w:highlight w:val="none"/>
          <w:lang w:val="en-US" w:eastAsia="zh-CN"/>
        </w:rPr>
        <w:drawing>
          <wp:inline distT="0" distB="0" distL="0" distR="0">
            <wp:extent cx="3045460" cy="1819910"/>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66976" cy="1832678"/>
                    </a:xfrm>
                    <a:prstGeom prst="rect">
                      <a:avLst/>
                    </a:prstGeom>
                  </pic:spPr>
                </pic:pic>
              </a:graphicData>
            </a:graphic>
          </wp:inline>
        </w:drawing>
      </w:r>
    </w:p>
    <w:p w14:paraId="05238F9D">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5.3.3.2-2. Illustration of Rel-16 ULFPTx Mode 2 (Mechanism-2, TPMI indication)</w:t>
      </w:r>
    </w:p>
    <w:p w14:paraId="7504B26B">
      <w:pPr>
        <w:keepNext w:val="0"/>
        <w:keepLines w:val="0"/>
        <w:suppressLineNumbers w:val="0"/>
        <w:spacing w:before="0" w:beforeAutospacing="0" w:afterAutospacing="0"/>
        <w:ind w:left="0" w:right="0"/>
        <w:rPr>
          <w:rFonts w:hint="default" w:asciiTheme="minorHAnsi" w:hAnsiTheme="minorHAnsi" w:cstheme="minorHAnsi"/>
          <w:color w:val="000000"/>
          <w:highlight w:val="none"/>
          <w:lang w:eastAsia="zh-CN"/>
        </w:rPr>
      </w:pPr>
    </w:p>
    <w:p w14:paraId="6C4C63B3">
      <w:pPr>
        <w:pStyle w:val="47"/>
        <w:suppressLineNumbers w:val="0"/>
        <w:spacing w:beforeAutospacing="0" w:afterAutospacing="0"/>
        <w:ind w:left="0" w:right="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3095625" cy="1923415"/>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112501" cy="1933811"/>
                    </a:xfrm>
                    <a:prstGeom prst="rect">
                      <a:avLst/>
                    </a:prstGeom>
                  </pic:spPr>
                </pic:pic>
              </a:graphicData>
            </a:graphic>
          </wp:inline>
        </w:drawing>
      </w:r>
    </w:p>
    <w:p w14:paraId="045FFB3E">
      <w:pPr>
        <w:pStyle w:val="51"/>
        <w:suppressLineNumbers w:val="0"/>
        <w:spacing w:beforeAutospacing="0" w:afterAutospacing="0"/>
        <w:ind w:left="0" w:right="0"/>
        <w:rPr>
          <w:rFonts w:hint="default"/>
          <w:highlight w:val="none"/>
          <w:lang w:eastAsia="zh-CN"/>
        </w:rPr>
      </w:pPr>
      <w:r>
        <w:rPr>
          <w:rFonts w:hint="default"/>
          <w:highlight w:val="none"/>
          <w:lang w:eastAsia="zh-CN"/>
        </w:rPr>
        <w:t>Fig. 5.3.3.3-1. Illustration of Rel-16 ULFPTx Mode 0</w:t>
      </w:r>
    </w:p>
    <w:p w14:paraId="2671AD05">
      <w:pPr>
        <w:tabs>
          <w:tab w:val="left" w:pos="2127"/>
        </w:tabs>
        <w:spacing w:after="0"/>
        <w:rPr>
          <w:rFonts w:hint="default"/>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bookmarkEnd w:id="1"/>
    <w:bookmarkEnd w:id="2"/>
    <w:bookmarkEnd w:id="3"/>
    <w:bookmarkEnd w:id="4"/>
    <w:p w14:paraId="6250081C">
      <w:pPr>
        <w:rPr>
          <w:rFonts w:hint="default" w:eastAsia="宋体"/>
          <w:sz w:val="20"/>
          <w:szCs w:val="20"/>
          <w:lang w:val="en-US" w:eastAsia="zh-CN"/>
        </w:rPr>
      </w:pPr>
      <w:r>
        <w:rPr>
          <w:rFonts w:hint="eastAsia"/>
          <w:color w:val="000000"/>
          <w:highlight w:val="none"/>
          <w:lang w:val="en-US" w:eastAsia="zh-CN"/>
        </w:rPr>
        <w:t>From single antenna port related feature which is also called TxD in the specification or SCDD in the implementation, this is mainly designed for single port transmission with two physical transmission ports with some cyclic shifting between signals transmitted in the time domain to mitigate the fading response of the channel, however this is not useful for ATG UE operating almost in the AWGAN channel. In other words, the artificial channel response added by TxD or SCDD as shown in following figure might have negative impacts of ATG UE operation. In again, we don</w:t>
      </w:r>
      <w:r>
        <w:rPr>
          <w:rFonts w:hint="default"/>
          <w:color w:val="000000"/>
          <w:highlight w:val="none"/>
          <w:lang w:val="en-US" w:eastAsia="zh-CN"/>
        </w:rPr>
        <w:t>’</w:t>
      </w:r>
      <w:r>
        <w:rPr>
          <w:rFonts w:hint="eastAsia"/>
          <w:color w:val="000000"/>
          <w:highlight w:val="none"/>
          <w:lang w:val="en-US" w:eastAsia="zh-CN"/>
        </w:rPr>
        <w:t xml:space="preserve">t see its justification on the benefit or usefulness of this feature. </w:t>
      </w:r>
    </w:p>
    <w:p w14:paraId="1D713005">
      <w:pPr>
        <w:pStyle w:val="55"/>
        <w:numPr>
          <w:ilvl w:val="-1"/>
          <w:numId w:val="0"/>
        </w:numPr>
        <w:rPr>
          <w:rStyle w:val="109"/>
        </w:rPr>
      </w:pPr>
      <w:r>
        <w:rPr>
          <w:rStyle w:val="109"/>
        </w:rPr>
        <w:drawing>
          <wp:inline distT="0" distB="0" distL="114300" distR="114300">
            <wp:extent cx="5266055" cy="2318385"/>
            <wp:effectExtent l="0" t="0" r="10795" b="5715"/>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11"/>
                    <a:stretch>
                      <a:fillRect/>
                    </a:stretch>
                  </pic:blipFill>
                  <pic:spPr>
                    <a:xfrm>
                      <a:off x="0" y="0"/>
                      <a:ext cx="5266055" cy="2318385"/>
                    </a:xfrm>
                    <a:prstGeom prst="rect">
                      <a:avLst/>
                    </a:prstGeom>
                    <a:noFill/>
                    <a:ln>
                      <a:noFill/>
                    </a:ln>
                  </pic:spPr>
                </pic:pic>
              </a:graphicData>
            </a:graphic>
          </wp:inline>
        </w:drawing>
      </w:r>
    </w:p>
    <w:p w14:paraId="1335F3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109"/>
          <w:rFonts w:hint="default" w:eastAsia="宋体"/>
          <w:lang w:val="en-US" w:eastAsia="zh-CN"/>
        </w:rPr>
      </w:pPr>
      <w:r>
        <w:rPr>
          <w:rStyle w:val="109"/>
          <w:rFonts w:hint="eastAsia"/>
          <w:lang w:val="en-US" w:eastAsia="zh-CN"/>
        </w:rPr>
        <w:t xml:space="preserve">Figure 2.3.1. </w:t>
      </w:r>
      <w:r>
        <w:rPr>
          <w:rStyle w:val="109"/>
          <w:rFonts w:hint="eastAsia"/>
        </w:rPr>
        <w:t>the frequency-domain spectrum of field data</w:t>
      </w:r>
      <w:r>
        <w:rPr>
          <w:rStyle w:val="109"/>
          <w:rFonts w:hint="eastAsia"/>
          <w:lang w:val="en-US" w:eastAsia="zh-CN"/>
        </w:rPr>
        <w:t xml:space="preserve"> </w:t>
      </w:r>
    </w:p>
    <w:p w14:paraId="1B987824">
      <w:pPr>
        <w:tabs>
          <w:tab w:val="left" w:pos="2127"/>
        </w:tabs>
        <w:spacing w:after="0"/>
        <w:rPr>
          <w:rStyle w:val="109"/>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not to consider the single antenna port transmission TxD for ATG UE operation. </w:t>
      </w:r>
    </w:p>
    <w:p w14:paraId="05A6334D">
      <w:pPr>
        <w:pStyle w:val="57"/>
        <w:tabs>
          <w:tab w:val="left" w:pos="567"/>
          <w:tab w:val="clear" w:pos="1985"/>
        </w:tabs>
        <w:adjustRightInd w:val="0"/>
        <w:ind w:left="510" w:hanging="510"/>
      </w:pPr>
      <w:r>
        <w:t>Conclusions</w:t>
      </w:r>
    </w:p>
    <w:p w14:paraId="05D364DC">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14:paraId="6279E6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14:paraId="09E1274E">
      <w:pPr>
        <w:tabs>
          <w:tab w:val="left" w:pos="2127"/>
        </w:tabs>
        <w:spacing w:after="0"/>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not to consider the single antenna port transmission TxD for ATG UE operation. </w:t>
      </w:r>
    </w:p>
    <w:p w14:paraId="746B40B9">
      <w:pPr>
        <w:pStyle w:val="57"/>
        <w:tabs>
          <w:tab w:val="left" w:pos="567"/>
          <w:tab w:val="clear" w:pos="1985"/>
        </w:tabs>
        <w:adjustRightInd w:val="0"/>
        <w:ind w:left="510" w:hanging="510"/>
      </w:pPr>
      <w:r>
        <w:t>References</w:t>
      </w:r>
    </w:p>
    <w:p w14:paraId="3AE5642F">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w:t>
      </w:r>
      <w:r>
        <w:rPr>
          <w:rFonts w:hint="eastAsia"/>
          <w:sz w:val="20"/>
          <w:szCs w:val="20"/>
          <w:lang w:val="en-US" w:eastAsia="zh-CN"/>
        </w:rPr>
        <w:t xml:space="preserve"> </w:t>
      </w:r>
      <w:r>
        <w:rPr>
          <w:rFonts w:hint="eastAsia" w:eastAsia="宋体"/>
          <w:sz w:val="20"/>
          <w:szCs w:val="20"/>
          <w:lang w:val="en-US" w:eastAsia="zh-CN"/>
        </w:rPr>
        <w:t>New WID on Enhancements for Air-to-ground network for NR, Approved.</w:t>
      </w:r>
    </w:p>
    <w:p w14:paraId="23F763BD">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14:paraId="727F5C5E">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14:paraId="49300628">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14:paraId="29EB071F">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14:paraId="7CC5280D">
      <w:pPr>
        <w:pStyle w:val="55"/>
        <w:numPr>
          <w:ilvl w:val="-1"/>
          <w:numId w:val="0"/>
        </w:numPr>
        <w:rPr>
          <w:sz w:val="20"/>
          <w:szCs w:val="20"/>
        </w:rPr>
      </w:pPr>
    </w:p>
    <w:p w14:paraId="01DAEFA5">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F7E99">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E60A3"/>
    <w:multiLevelType w:val="singleLevel"/>
    <w:tmpl w:val="BACE60A3"/>
    <w:lvl w:ilvl="0" w:tentative="0">
      <w:start w:val="1"/>
      <w:numFmt w:val="bullet"/>
      <w:lvlText w:val="−"/>
      <w:lvlJc w:val="left"/>
      <w:pPr>
        <w:ind w:left="420" w:leftChars="0" w:hanging="420" w:firstLineChars="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572A"/>
    <w:rsid w:val="011B7946"/>
    <w:rsid w:val="01237C8B"/>
    <w:rsid w:val="012823DD"/>
    <w:rsid w:val="012A6A7A"/>
    <w:rsid w:val="012B6D59"/>
    <w:rsid w:val="013A4C94"/>
    <w:rsid w:val="01417D3E"/>
    <w:rsid w:val="01442D89"/>
    <w:rsid w:val="014A5E2B"/>
    <w:rsid w:val="01522256"/>
    <w:rsid w:val="01586859"/>
    <w:rsid w:val="01594895"/>
    <w:rsid w:val="015C06BF"/>
    <w:rsid w:val="015D1618"/>
    <w:rsid w:val="015F18F2"/>
    <w:rsid w:val="015F5FA3"/>
    <w:rsid w:val="016800B9"/>
    <w:rsid w:val="017059E0"/>
    <w:rsid w:val="0171654A"/>
    <w:rsid w:val="0173280C"/>
    <w:rsid w:val="01760949"/>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46DE1"/>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66E76"/>
    <w:rsid w:val="02B765B2"/>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7E4AB1"/>
    <w:rsid w:val="03822F79"/>
    <w:rsid w:val="03876945"/>
    <w:rsid w:val="038B3715"/>
    <w:rsid w:val="038E26A7"/>
    <w:rsid w:val="039156A6"/>
    <w:rsid w:val="039568DC"/>
    <w:rsid w:val="0395764C"/>
    <w:rsid w:val="039B69FD"/>
    <w:rsid w:val="03A32E58"/>
    <w:rsid w:val="03A33876"/>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4AD"/>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A31900"/>
    <w:rsid w:val="04A51372"/>
    <w:rsid w:val="04AD4AB7"/>
    <w:rsid w:val="04B04A5A"/>
    <w:rsid w:val="04C21862"/>
    <w:rsid w:val="04C6655F"/>
    <w:rsid w:val="04CD2C67"/>
    <w:rsid w:val="04D66461"/>
    <w:rsid w:val="04D91127"/>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35400"/>
    <w:rsid w:val="05536CDD"/>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32EA"/>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83533"/>
    <w:rsid w:val="06C9247F"/>
    <w:rsid w:val="06CA43E9"/>
    <w:rsid w:val="06CD3A64"/>
    <w:rsid w:val="06CD47D4"/>
    <w:rsid w:val="06D03A0C"/>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35792"/>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07F"/>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55C2B"/>
    <w:rsid w:val="08F87A74"/>
    <w:rsid w:val="08F911CC"/>
    <w:rsid w:val="09016732"/>
    <w:rsid w:val="090716A9"/>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237A9"/>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51043"/>
    <w:rsid w:val="0A093274"/>
    <w:rsid w:val="0A0E1173"/>
    <w:rsid w:val="0A0E6073"/>
    <w:rsid w:val="0A145E2C"/>
    <w:rsid w:val="0A1A2E51"/>
    <w:rsid w:val="0A2001BE"/>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346D2"/>
    <w:rsid w:val="0A741F08"/>
    <w:rsid w:val="0A771CA5"/>
    <w:rsid w:val="0A7A2F0F"/>
    <w:rsid w:val="0A7F11A2"/>
    <w:rsid w:val="0A7F4F37"/>
    <w:rsid w:val="0A8053C7"/>
    <w:rsid w:val="0A820BA6"/>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8B06CA"/>
    <w:rsid w:val="0B936E39"/>
    <w:rsid w:val="0B9538BE"/>
    <w:rsid w:val="0B9B4AEA"/>
    <w:rsid w:val="0B9C0905"/>
    <w:rsid w:val="0B9E13B0"/>
    <w:rsid w:val="0BA50427"/>
    <w:rsid w:val="0BAA0B6D"/>
    <w:rsid w:val="0BB02C8B"/>
    <w:rsid w:val="0BB2460A"/>
    <w:rsid w:val="0BB41A6B"/>
    <w:rsid w:val="0BB41CFB"/>
    <w:rsid w:val="0BB53F3C"/>
    <w:rsid w:val="0BC00376"/>
    <w:rsid w:val="0BC739F0"/>
    <w:rsid w:val="0BCE3939"/>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1916"/>
    <w:rsid w:val="0C85742B"/>
    <w:rsid w:val="0C8726EC"/>
    <w:rsid w:val="0C873353"/>
    <w:rsid w:val="0C880B44"/>
    <w:rsid w:val="0C885C99"/>
    <w:rsid w:val="0C8B4B61"/>
    <w:rsid w:val="0C9924F3"/>
    <w:rsid w:val="0C9A4387"/>
    <w:rsid w:val="0C9D3F03"/>
    <w:rsid w:val="0CA1546A"/>
    <w:rsid w:val="0CA4660D"/>
    <w:rsid w:val="0CA46672"/>
    <w:rsid w:val="0CA61714"/>
    <w:rsid w:val="0CA92BAC"/>
    <w:rsid w:val="0CB02A2E"/>
    <w:rsid w:val="0CB07BBB"/>
    <w:rsid w:val="0CB176C1"/>
    <w:rsid w:val="0CB471A1"/>
    <w:rsid w:val="0CB6783A"/>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252A2"/>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52AA1"/>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6D3F5E"/>
    <w:rsid w:val="0E7454FD"/>
    <w:rsid w:val="0E752596"/>
    <w:rsid w:val="0E771E51"/>
    <w:rsid w:val="0E796EA0"/>
    <w:rsid w:val="0E7A2A61"/>
    <w:rsid w:val="0E7C0762"/>
    <w:rsid w:val="0E8118C0"/>
    <w:rsid w:val="0E8164AD"/>
    <w:rsid w:val="0E894FFB"/>
    <w:rsid w:val="0E926A16"/>
    <w:rsid w:val="0E9A17E3"/>
    <w:rsid w:val="0EA11114"/>
    <w:rsid w:val="0EA35AC0"/>
    <w:rsid w:val="0EAA30A8"/>
    <w:rsid w:val="0EAD4424"/>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270FC"/>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16B63"/>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162F5"/>
    <w:rsid w:val="10525348"/>
    <w:rsid w:val="10545462"/>
    <w:rsid w:val="10591BBA"/>
    <w:rsid w:val="10613177"/>
    <w:rsid w:val="1063036B"/>
    <w:rsid w:val="10674DB0"/>
    <w:rsid w:val="106D678B"/>
    <w:rsid w:val="107374A2"/>
    <w:rsid w:val="10746083"/>
    <w:rsid w:val="10774625"/>
    <w:rsid w:val="107779F1"/>
    <w:rsid w:val="107B4809"/>
    <w:rsid w:val="107E211C"/>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43BE6"/>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C1C6D"/>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18BF"/>
    <w:rsid w:val="133B5756"/>
    <w:rsid w:val="134904A6"/>
    <w:rsid w:val="1357258A"/>
    <w:rsid w:val="135845C3"/>
    <w:rsid w:val="135A44E0"/>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34DB7"/>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7AAA"/>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1730"/>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3ECD"/>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4E6832"/>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985549"/>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0D7351"/>
    <w:rsid w:val="19154201"/>
    <w:rsid w:val="19173E00"/>
    <w:rsid w:val="19190AE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46A28"/>
    <w:rsid w:val="19A7296F"/>
    <w:rsid w:val="19AF232D"/>
    <w:rsid w:val="19B94DE5"/>
    <w:rsid w:val="19BB7983"/>
    <w:rsid w:val="19CA4702"/>
    <w:rsid w:val="19D01D27"/>
    <w:rsid w:val="19D76F77"/>
    <w:rsid w:val="19DC3901"/>
    <w:rsid w:val="19DE7440"/>
    <w:rsid w:val="19E05397"/>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AD5FFC"/>
    <w:rsid w:val="1AB02AE4"/>
    <w:rsid w:val="1AB359A1"/>
    <w:rsid w:val="1ABD31B9"/>
    <w:rsid w:val="1ABF3A95"/>
    <w:rsid w:val="1AC03B72"/>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24C9E"/>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CD46A9"/>
    <w:rsid w:val="1BD91032"/>
    <w:rsid w:val="1BDB55E4"/>
    <w:rsid w:val="1BDD2FB0"/>
    <w:rsid w:val="1BDF024C"/>
    <w:rsid w:val="1BEA1E6C"/>
    <w:rsid w:val="1BEC2575"/>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16AA4"/>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81F1A"/>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069AB"/>
    <w:rsid w:val="1DA1442D"/>
    <w:rsid w:val="1DA265B5"/>
    <w:rsid w:val="1DA7127D"/>
    <w:rsid w:val="1DB26ED0"/>
    <w:rsid w:val="1DB835A9"/>
    <w:rsid w:val="1DC254A8"/>
    <w:rsid w:val="1DC603E1"/>
    <w:rsid w:val="1DD32968"/>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27AF6"/>
    <w:rsid w:val="1F0D14F3"/>
    <w:rsid w:val="1F0E3B92"/>
    <w:rsid w:val="1F120D07"/>
    <w:rsid w:val="1F141EF2"/>
    <w:rsid w:val="1F1B0E06"/>
    <w:rsid w:val="1F280D38"/>
    <w:rsid w:val="1F303EA7"/>
    <w:rsid w:val="1F30637A"/>
    <w:rsid w:val="1F3111CE"/>
    <w:rsid w:val="1F323579"/>
    <w:rsid w:val="1F3C6AF7"/>
    <w:rsid w:val="1F405E44"/>
    <w:rsid w:val="1F435398"/>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00FDC"/>
    <w:rsid w:val="1FA12A08"/>
    <w:rsid w:val="1FA732AF"/>
    <w:rsid w:val="1FA82FF9"/>
    <w:rsid w:val="1FAC192E"/>
    <w:rsid w:val="1FAD796D"/>
    <w:rsid w:val="1FB01266"/>
    <w:rsid w:val="1FB260BE"/>
    <w:rsid w:val="1FB34CAE"/>
    <w:rsid w:val="1FB50459"/>
    <w:rsid w:val="1FB54204"/>
    <w:rsid w:val="1FB63655"/>
    <w:rsid w:val="1FBA0563"/>
    <w:rsid w:val="1FBC4DE6"/>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5650"/>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508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94444"/>
    <w:rsid w:val="214B1974"/>
    <w:rsid w:val="214F4863"/>
    <w:rsid w:val="21504A40"/>
    <w:rsid w:val="215522BF"/>
    <w:rsid w:val="215D5711"/>
    <w:rsid w:val="215F7E39"/>
    <w:rsid w:val="2163647D"/>
    <w:rsid w:val="216C54DE"/>
    <w:rsid w:val="216E4095"/>
    <w:rsid w:val="21700D59"/>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C37092"/>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A7DBA"/>
    <w:rsid w:val="238B65DE"/>
    <w:rsid w:val="238D0169"/>
    <w:rsid w:val="238E277F"/>
    <w:rsid w:val="2390760E"/>
    <w:rsid w:val="239130F2"/>
    <w:rsid w:val="239635D0"/>
    <w:rsid w:val="239B728F"/>
    <w:rsid w:val="239D405B"/>
    <w:rsid w:val="23A06FB8"/>
    <w:rsid w:val="23AE6E9E"/>
    <w:rsid w:val="23B02460"/>
    <w:rsid w:val="23B94969"/>
    <w:rsid w:val="23BD6F6C"/>
    <w:rsid w:val="23BF30A4"/>
    <w:rsid w:val="23C146A7"/>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C7A"/>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299F"/>
    <w:rsid w:val="24C0685F"/>
    <w:rsid w:val="24CD6DBE"/>
    <w:rsid w:val="24D20A06"/>
    <w:rsid w:val="24D51CDF"/>
    <w:rsid w:val="24DA355D"/>
    <w:rsid w:val="24E57853"/>
    <w:rsid w:val="24E77BE6"/>
    <w:rsid w:val="24EB334E"/>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6228B"/>
    <w:rsid w:val="265A4DDA"/>
    <w:rsid w:val="266239C5"/>
    <w:rsid w:val="26626905"/>
    <w:rsid w:val="26667EB2"/>
    <w:rsid w:val="266B1FB8"/>
    <w:rsid w:val="26712A32"/>
    <w:rsid w:val="267B7FD0"/>
    <w:rsid w:val="267E518B"/>
    <w:rsid w:val="26872779"/>
    <w:rsid w:val="26874AF8"/>
    <w:rsid w:val="2689029B"/>
    <w:rsid w:val="2689653A"/>
    <w:rsid w:val="269478D8"/>
    <w:rsid w:val="26993F8A"/>
    <w:rsid w:val="269B3F13"/>
    <w:rsid w:val="269C4CE4"/>
    <w:rsid w:val="269C594C"/>
    <w:rsid w:val="26A17EEF"/>
    <w:rsid w:val="26A4288C"/>
    <w:rsid w:val="26A608EC"/>
    <w:rsid w:val="26A63366"/>
    <w:rsid w:val="26A968B5"/>
    <w:rsid w:val="26AC5BFD"/>
    <w:rsid w:val="26AD7047"/>
    <w:rsid w:val="26B20A43"/>
    <w:rsid w:val="26B31383"/>
    <w:rsid w:val="26B9766D"/>
    <w:rsid w:val="26BA59F2"/>
    <w:rsid w:val="26BD1ECD"/>
    <w:rsid w:val="26C36DE5"/>
    <w:rsid w:val="26C81E72"/>
    <w:rsid w:val="26C868EA"/>
    <w:rsid w:val="26C873B0"/>
    <w:rsid w:val="26C9404D"/>
    <w:rsid w:val="26CD53A8"/>
    <w:rsid w:val="26D323BB"/>
    <w:rsid w:val="26D45590"/>
    <w:rsid w:val="26DB67F4"/>
    <w:rsid w:val="26E124E8"/>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1618E"/>
    <w:rsid w:val="27621C7A"/>
    <w:rsid w:val="27625732"/>
    <w:rsid w:val="276320D7"/>
    <w:rsid w:val="276F3D3A"/>
    <w:rsid w:val="27711B2C"/>
    <w:rsid w:val="27744B4E"/>
    <w:rsid w:val="2778684B"/>
    <w:rsid w:val="277A5E6A"/>
    <w:rsid w:val="277E547B"/>
    <w:rsid w:val="278808C4"/>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65624"/>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0E2C3F"/>
    <w:rsid w:val="291415DC"/>
    <w:rsid w:val="291712DF"/>
    <w:rsid w:val="29192BE8"/>
    <w:rsid w:val="291A0B21"/>
    <w:rsid w:val="291C432F"/>
    <w:rsid w:val="291D21EF"/>
    <w:rsid w:val="291F738B"/>
    <w:rsid w:val="29201EFD"/>
    <w:rsid w:val="29264B1F"/>
    <w:rsid w:val="29270605"/>
    <w:rsid w:val="292A140D"/>
    <w:rsid w:val="292A375F"/>
    <w:rsid w:val="29316984"/>
    <w:rsid w:val="293310A0"/>
    <w:rsid w:val="2938092A"/>
    <w:rsid w:val="293955A6"/>
    <w:rsid w:val="293966D9"/>
    <w:rsid w:val="29425246"/>
    <w:rsid w:val="2946144E"/>
    <w:rsid w:val="29465F13"/>
    <w:rsid w:val="2946760C"/>
    <w:rsid w:val="29485EB7"/>
    <w:rsid w:val="29487D92"/>
    <w:rsid w:val="294A5BC8"/>
    <w:rsid w:val="29504176"/>
    <w:rsid w:val="29512FCE"/>
    <w:rsid w:val="29572948"/>
    <w:rsid w:val="296865F6"/>
    <w:rsid w:val="296B20A7"/>
    <w:rsid w:val="297D1A8B"/>
    <w:rsid w:val="29820015"/>
    <w:rsid w:val="298C22CD"/>
    <w:rsid w:val="29981CF5"/>
    <w:rsid w:val="299C6B98"/>
    <w:rsid w:val="29A41C39"/>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00F61"/>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60826"/>
    <w:rsid w:val="2A9A66D4"/>
    <w:rsid w:val="2AA1007B"/>
    <w:rsid w:val="2AA12DD3"/>
    <w:rsid w:val="2AA271A0"/>
    <w:rsid w:val="2AAA29AB"/>
    <w:rsid w:val="2AAA4B39"/>
    <w:rsid w:val="2AAB1744"/>
    <w:rsid w:val="2AAC36BD"/>
    <w:rsid w:val="2AB04937"/>
    <w:rsid w:val="2AB1542B"/>
    <w:rsid w:val="2AB34767"/>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43AF9"/>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9D5CB9"/>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03136B"/>
    <w:rsid w:val="2C11705A"/>
    <w:rsid w:val="2C1216FD"/>
    <w:rsid w:val="2C121974"/>
    <w:rsid w:val="2C1A4267"/>
    <w:rsid w:val="2C1D636E"/>
    <w:rsid w:val="2C1F2C4F"/>
    <w:rsid w:val="2C1F7DED"/>
    <w:rsid w:val="2C2062AE"/>
    <w:rsid w:val="2C212418"/>
    <w:rsid w:val="2C2273F3"/>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26F74"/>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33633"/>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B414C"/>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078CF"/>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42B2"/>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7F49A0"/>
    <w:rsid w:val="308018A6"/>
    <w:rsid w:val="30804E19"/>
    <w:rsid w:val="308D6558"/>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EE64C5"/>
    <w:rsid w:val="31F20023"/>
    <w:rsid w:val="31F31FF7"/>
    <w:rsid w:val="31F52FE4"/>
    <w:rsid w:val="31F536F7"/>
    <w:rsid w:val="31FA7AEE"/>
    <w:rsid w:val="31FB60C5"/>
    <w:rsid w:val="32016F71"/>
    <w:rsid w:val="32021A78"/>
    <w:rsid w:val="3209100C"/>
    <w:rsid w:val="321E250B"/>
    <w:rsid w:val="32226597"/>
    <w:rsid w:val="322A5516"/>
    <w:rsid w:val="322B15D3"/>
    <w:rsid w:val="322B6C88"/>
    <w:rsid w:val="322C6DC4"/>
    <w:rsid w:val="32373CF1"/>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72FB2"/>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A97D22"/>
    <w:rsid w:val="33B52233"/>
    <w:rsid w:val="33B70359"/>
    <w:rsid w:val="33BA1B32"/>
    <w:rsid w:val="33BE01F6"/>
    <w:rsid w:val="33BF7141"/>
    <w:rsid w:val="33CB205A"/>
    <w:rsid w:val="33D31CFB"/>
    <w:rsid w:val="33D451B9"/>
    <w:rsid w:val="33DD6483"/>
    <w:rsid w:val="33E20DF0"/>
    <w:rsid w:val="33E570DD"/>
    <w:rsid w:val="33EA5517"/>
    <w:rsid w:val="33EE5E44"/>
    <w:rsid w:val="33F509C2"/>
    <w:rsid w:val="33F81D16"/>
    <w:rsid w:val="33FA2099"/>
    <w:rsid w:val="33FC464A"/>
    <w:rsid w:val="33FE4E44"/>
    <w:rsid w:val="33FF3082"/>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74DD2"/>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07722"/>
    <w:rsid w:val="34D47C8A"/>
    <w:rsid w:val="34D545B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28A8"/>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9221F"/>
    <w:rsid w:val="35EA6509"/>
    <w:rsid w:val="35ED04DC"/>
    <w:rsid w:val="35F44E5C"/>
    <w:rsid w:val="35F45994"/>
    <w:rsid w:val="35F8217F"/>
    <w:rsid w:val="3602050E"/>
    <w:rsid w:val="36077B5A"/>
    <w:rsid w:val="36101A49"/>
    <w:rsid w:val="36161FA4"/>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6F6862"/>
    <w:rsid w:val="36701C31"/>
    <w:rsid w:val="36720A4C"/>
    <w:rsid w:val="36752210"/>
    <w:rsid w:val="3681695C"/>
    <w:rsid w:val="36820E97"/>
    <w:rsid w:val="36884498"/>
    <w:rsid w:val="368F4369"/>
    <w:rsid w:val="36922B55"/>
    <w:rsid w:val="36991125"/>
    <w:rsid w:val="369C60C5"/>
    <w:rsid w:val="369E44B4"/>
    <w:rsid w:val="36A13942"/>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0037"/>
    <w:rsid w:val="37B336FE"/>
    <w:rsid w:val="37B5292C"/>
    <w:rsid w:val="37BA6351"/>
    <w:rsid w:val="37C0226A"/>
    <w:rsid w:val="37C265EA"/>
    <w:rsid w:val="37C93B72"/>
    <w:rsid w:val="37CC231E"/>
    <w:rsid w:val="37CC50A4"/>
    <w:rsid w:val="37CD1B5C"/>
    <w:rsid w:val="37D644F2"/>
    <w:rsid w:val="37E22653"/>
    <w:rsid w:val="37E7735E"/>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D3B1D"/>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63086"/>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1959"/>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32D81"/>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973BA"/>
    <w:rsid w:val="3ACE18D2"/>
    <w:rsid w:val="3ACE7D16"/>
    <w:rsid w:val="3AD56DB6"/>
    <w:rsid w:val="3AD73D23"/>
    <w:rsid w:val="3AEE596A"/>
    <w:rsid w:val="3AF05C24"/>
    <w:rsid w:val="3AF47143"/>
    <w:rsid w:val="3AF90FF9"/>
    <w:rsid w:val="3AF932C9"/>
    <w:rsid w:val="3AFD37D0"/>
    <w:rsid w:val="3AFF55B1"/>
    <w:rsid w:val="3B016EE9"/>
    <w:rsid w:val="3B075C4E"/>
    <w:rsid w:val="3B081410"/>
    <w:rsid w:val="3B0C7A7D"/>
    <w:rsid w:val="3B0D67FF"/>
    <w:rsid w:val="3B0E6B93"/>
    <w:rsid w:val="3B0F2219"/>
    <w:rsid w:val="3B104B53"/>
    <w:rsid w:val="3B130528"/>
    <w:rsid w:val="3B1703B9"/>
    <w:rsid w:val="3B1860E7"/>
    <w:rsid w:val="3B1B0093"/>
    <w:rsid w:val="3B1D6A80"/>
    <w:rsid w:val="3B217306"/>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56584"/>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50A03"/>
    <w:rsid w:val="3C591787"/>
    <w:rsid w:val="3C64689F"/>
    <w:rsid w:val="3C6E7D4D"/>
    <w:rsid w:val="3C707F15"/>
    <w:rsid w:val="3C740DAA"/>
    <w:rsid w:val="3C750E34"/>
    <w:rsid w:val="3C7A7CE8"/>
    <w:rsid w:val="3C7B1342"/>
    <w:rsid w:val="3C7E65EC"/>
    <w:rsid w:val="3C812838"/>
    <w:rsid w:val="3C8215E4"/>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93B7A"/>
    <w:rsid w:val="3CBA78F5"/>
    <w:rsid w:val="3CBD5A0F"/>
    <w:rsid w:val="3CBF5299"/>
    <w:rsid w:val="3CBF7818"/>
    <w:rsid w:val="3CC24098"/>
    <w:rsid w:val="3CC26B63"/>
    <w:rsid w:val="3CC42B41"/>
    <w:rsid w:val="3CC71C25"/>
    <w:rsid w:val="3CC86AC9"/>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1C22"/>
    <w:rsid w:val="3D233D0C"/>
    <w:rsid w:val="3D272F24"/>
    <w:rsid w:val="3D2A76C4"/>
    <w:rsid w:val="3D2C61BC"/>
    <w:rsid w:val="3D2F4437"/>
    <w:rsid w:val="3D3662C4"/>
    <w:rsid w:val="3D47670E"/>
    <w:rsid w:val="3D4A3942"/>
    <w:rsid w:val="3D4C0AE9"/>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D91F25"/>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3F6B1A"/>
    <w:rsid w:val="3E454B0D"/>
    <w:rsid w:val="3E463CA5"/>
    <w:rsid w:val="3E46739D"/>
    <w:rsid w:val="3E4B2DC3"/>
    <w:rsid w:val="3E535A69"/>
    <w:rsid w:val="3E583BB7"/>
    <w:rsid w:val="3E5A1D01"/>
    <w:rsid w:val="3E5B12DC"/>
    <w:rsid w:val="3E623E46"/>
    <w:rsid w:val="3E63159D"/>
    <w:rsid w:val="3E667FB0"/>
    <w:rsid w:val="3E680BF1"/>
    <w:rsid w:val="3E6953E3"/>
    <w:rsid w:val="3E75687A"/>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E5023D"/>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E66C2"/>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56C6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14C74"/>
    <w:rsid w:val="40D543EE"/>
    <w:rsid w:val="40D72999"/>
    <w:rsid w:val="40DF3ABC"/>
    <w:rsid w:val="40E75AF0"/>
    <w:rsid w:val="40E87142"/>
    <w:rsid w:val="40EF3C78"/>
    <w:rsid w:val="40F00A85"/>
    <w:rsid w:val="40F1013C"/>
    <w:rsid w:val="40F35427"/>
    <w:rsid w:val="40FA38BC"/>
    <w:rsid w:val="40FE1447"/>
    <w:rsid w:val="41053DED"/>
    <w:rsid w:val="411474F8"/>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10C51"/>
    <w:rsid w:val="41A63744"/>
    <w:rsid w:val="41A85E90"/>
    <w:rsid w:val="41AB3AB1"/>
    <w:rsid w:val="41AC6BA3"/>
    <w:rsid w:val="41AD5F07"/>
    <w:rsid w:val="41B56AA0"/>
    <w:rsid w:val="41B730A3"/>
    <w:rsid w:val="41B737E0"/>
    <w:rsid w:val="41B77B6D"/>
    <w:rsid w:val="41BA081E"/>
    <w:rsid w:val="41C20F3F"/>
    <w:rsid w:val="41CF504E"/>
    <w:rsid w:val="41D1580B"/>
    <w:rsid w:val="41D57639"/>
    <w:rsid w:val="41D659E7"/>
    <w:rsid w:val="41DC5EDF"/>
    <w:rsid w:val="41DD05DE"/>
    <w:rsid w:val="41E4117E"/>
    <w:rsid w:val="41E41803"/>
    <w:rsid w:val="41E52CA5"/>
    <w:rsid w:val="41E6368B"/>
    <w:rsid w:val="41E70652"/>
    <w:rsid w:val="41EB39C1"/>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561D06"/>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4209F"/>
    <w:rsid w:val="43C0281C"/>
    <w:rsid w:val="43C02B26"/>
    <w:rsid w:val="43C91C5B"/>
    <w:rsid w:val="43D10A40"/>
    <w:rsid w:val="43D67A91"/>
    <w:rsid w:val="43E21F58"/>
    <w:rsid w:val="43E35EF0"/>
    <w:rsid w:val="43F71BCF"/>
    <w:rsid w:val="43F76F69"/>
    <w:rsid w:val="43F77637"/>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61B3"/>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1B0B20"/>
    <w:rsid w:val="4721368C"/>
    <w:rsid w:val="47333B1B"/>
    <w:rsid w:val="47351654"/>
    <w:rsid w:val="473D0BD8"/>
    <w:rsid w:val="47457188"/>
    <w:rsid w:val="47502F2C"/>
    <w:rsid w:val="47561DDC"/>
    <w:rsid w:val="47592D4E"/>
    <w:rsid w:val="475C68B0"/>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55A99"/>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43228"/>
    <w:rsid w:val="48594C05"/>
    <w:rsid w:val="485D5413"/>
    <w:rsid w:val="485D58DA"/>
    <w:rsid w:val="485F3492"/>
    <w:rsid w:val="485F5D85"/>
    <w:rsid w:val="4864535D"/>
    <w:rsid w:val="48664A02"/>
    <w:rsid w:val="487141DB"/>
    <w:rsid w:val="48740F16"/>
    <w:rsid w:val="48747A97"/>
    <w:rsid w:val="487572A2"/>
    <w:rsid w:val="487A2A25"/>
    <w:rsid w:val="487C0397"/>
    <w:rsid w:val="487F0B8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D77C0"/>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8740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2155F"/>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069FA"/>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6757B"/>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9F7DD4"/>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02384"/>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0684F"/>
    <w:rsid w:val="4D7220A0"/>
    <w:rsid w:val="4D722EC4"/>
    <w:rsid w:val="4D76173E"/>
    <w:rsid w:val="4D795468"/>
    <w:rsid w:val="4D835092"/>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C4FCE"/>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D1505"/>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150FA"/>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00C5A"/>
    <w:rsid w:val="509A3231"/>
    <w:rsid w:val="509C736A"/>
    <w:rsid w:val="50A27585"/>
    <w:rsid w:val="50A43E2D"/>
    <w:rsid w:val="50A5279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56EBD"/>
    <w:rsid w:val="50E63519"/>
    <w:rsid w:val="50ED76FB"/>
    <w:rsid w:val="50F568D9"/>
    <w:rsid w:val="50FD2A03"/>
    <w:rsid w:val="510A7249"/>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A0490"/>
    <w:rsid w:val="519D2F03"/>
    <w:rsid w:val="51AA27FB"/>
    <w:rsid w:val="51AB0562"/>
    <w:rsid w:val="51AD64AB"/>
    <w:rsid w:val="51AD6F40"/>
    <w:rsid w:val="51AE5103"/>
    <w:rsid w:val="51BE2EAE"/>
    <w:rsid w:val="51C0716E"/>
    <w:rsid w:val="51C24631"/>
    <w:rsid w:val="51D42177"/>
    <w:rsid w:val="51D43598"/>
    <w:rsid w:val="51DA51E8"/>
    <w:rsid w:val="51DA5890"/>
    <w:rsid w:val="51DB6702"/>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3E1874"/>
    <w:rsid w:val="524466F4"/>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33A29"/>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205C2"/>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B469E"/>
    <w:rsid w:val="541F38E3"/>
    <w:rsid w:val="542A1803"/>
    <w:rsid w:val="542A3FEF"/>
    <w:rsid w:val="542A5504"/>
    <w:rsid w:val="542F7A60"/>
    <w:rsid w:val="543137BF"/>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41297"/>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0565"/>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66031A"/>
    <w:rsid w:val="567215D4"/>
    <w:rsid w:val="56793BB2"/>
    <w:rsid w:val="56797DE1"/>
    <w:rsid w:val="567A6CC0"/>
    <w:rsid w:val="567B14A9"/>
    <w:rsid w:val="567E4F7B"/>
    <w:rsid w:val="56840A2D"/>
    <w:rsid w:val="568D0940"/>
    <w:rsid w:val="56902B88"/>
    <w:rsid w:val="569063DE"/>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351"/>
    <w:rsid w:val="57095761"/>
    <w:rsid w:val="57172BD7"/>
    <w:rsid w:val="571777C3"/>
    <w:rsid w:val="571B1F7E"/>
    <w:rsid w:val="571D34AC"/>
    <w:rsid w:val="571F270E"/>
    <w:rsid w:val="57282D47"/>
    <w:rsid w:val="57284B98"/>
    <w:rsid w:val="57292292"/>
    <w:rsid w:val="572E4793"/>
    <w:rsid w:val="572E7E52"/>
    <w:rsid w:val="57301886"/>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14081"/>
    <w:rsid w:val="58153B58"/>
    <w:rsid w:val="58191195"/>
    <w:rsid w:val="581C6E66"/>
    <w:rsid w:val="58222A6D"/>
    <w:rsid w:val="5822786C"/>
    <w:rsid w:val="58243371"/>
    <w:rsid w:val="58293CFC"/>
    <w:rsid w:val="58302962"/>
    <w:rsid w:val="5835010B"/>
    <w:rsid w:val="583A6D30"/>
    <w:rsid w:val="583C0D03"/>
    <w:rsid w:val="58434BAC"/>
    <w:rsid w:val="58462B56"/>
    <w:rsid w:val="5846366F"/>
    <w:rsid w:val="584654C9"/>
    <w:rsid w:val="58470241"/>
    <w:rsid w:val="58481E8A"/>
    <w:rsid w:val="58484F55"/>
    <w:rsid w:val="584C65D6"/>
    <w:rsid w:val="58514445"/>
    <w:rsid w:val="5854056C"/>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85444"/>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41C08"/>
    <w:rsid w:val="59AE5EC5"/>
    <w:rsid w:val="59AF0514"/>
    <w:rsid w:val="59AF1AB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971AC"/>
    <w:rsid w:val="5A5A2DA4"/>
    <w:rsid w:val="5A5B1DED"/>
    <w:rsid w:val="5A5C7772"/>
    <w:rsid w:val="5A6169CB"/>
    <w:rsid w:val="5A6336A1"/>
    <w:rsid w:val="5A65704E"/>
    <w:rsid w:val="5A6B7C88"/>
    <w:rsid w:val="5A6F5AD1"/>
    <w:rsid w:val="5A73612A"/>
    <w:rsid w:val="5A784E1A"/>
    <w:rsid w:val="5A7B0683"/>
    <w:rsid w:val="5A7C1DA4"/>
    <w:rsid w:val="5A7F6F98"/>
    <w:rsid w:val="5A8F76C1"/>
    <w:rsid w:val="5A921A04"/>
    <w:rsid w:val="5A99558C"/>
    <w:rsid w:val="5A9A0A66"/>
    <w:rsid w:val="5AA541CF"/>
    <w:rsid w:val="5AAF48E4"/>
    <w:rsid w:val="5AB37B5F"/>
    <w:rsid w:val="5AB96041"/>
    <w:rsid w:val="5ABB2E93"/>
    <w:rsid w:val="5ABC4831"/>
    <w:rsid w:val="5ABC6BFA"/>
    <w:rsid w:val="5ABF01E8"/>
    <w:rsid w:val="5ABF7466"/>
    <w:rsid w:val="5AC05747"/>
    <w:rsid w:val="5AC366EB"/>
    <w:rsid w:val="5AC43AE0"/>
    <w:rsid w:val="5AC4427C"/>
    <w:rsid w:val="5AC46AC1"/>
    <w:rsid w:val="5AC75010"/>
    <w:rsid w:val="5AC751DD"/>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16AE4"/>
    <w:rsid w:val="5B853B9F"/>
    <w:rsid w:val="5B896F76"/>
    <w:rsid w:val="5B8F287C"/>
    <w:rsid w:val="5B901200"/>
    <w:rsid w:val="5B9319B5"/>
    <w:rsid w:val="5B96407F"/>
    <w:rsid w:val="5B975E5B"/>
    <w:rsid w:val="5B9C0984"/>
    <w:rsid w:val="5B9D5FB0"/>
    <w:rsid w:val="5B9F377A"/>
    <w:rsid w:val="5BA65080"/>
    <w:rsid w:val="5BA76A78"/>
    <w:rsid w:val="5BB209FC"/>
    <w:rsid w:val="5BB214B7"/>
    <w:rsid w:val="5BB424C4"/>
    <w:rsid w:val="5BB576AD"/>
    <w:rsid w:val="5BB6242D"/>
    <w:rsid w:val="5BB65985"/>
    <w:rsid w:val="5BB76EBD"/>
    <w:rsid w:val="5BBE6EBD"/>
    <w:rsid w:val="5BC02787"/>
    <w:rsid w:val="5BC23E64"/>
    <w:rsid w:val="5BC25545"/>
    <w:rsid w:val="5BC52B9A"/>
    <w:rsid w:val="5BCD45FD"/>
    <w:rsid w:val="5BCD6158"/>
    <w:rsid w:val="5BD41880"/>
    <w:rsid w:val="5BD627D7"/>
    <w:rsid w:val="5BDF2BA2"/>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14A5E"/>
    <w:rsid w:val="5D22473A"/>
    <w:rsid w:val="5D237B4C"/>
    <w:rsid w:val="5D2B5629"/>
    <w:rsid w:val="5D301CD3"/>
    <w:rsid w:val="5D315CEB"/>
    <w:rsid w:val="5D326462"/>
    <w:rsid w:val="5D3926A3"/>
    <w:rsid w:val="5D3A654F"/>
    <w:rsid w:val="5D3B59DF"/>
    <w:rsid w:val="5D3C3E4A"/>
    <w:rsid w:val="5D3C59F3"/>
    <w:rsid w:val="5D473075"/>
    <w:rsid w:val="5D475E41"/>
    <w:rsid w:val="5D4822EE"/>
    <w:rsid w:val="5D4C5595"/>
    <w:rsid w:val="5D5864DB"/>
    <w:rsid w:val="5D6E2E83"/>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0575E"/>
    <w:rsid w:val="5DB42E5D"/>
    <w:rsid w:val="5DB65502"/>
    <w:rsid w:val="5DB906BB"/>
    <w:rsid w:val="5DBB66D5"/>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2C0C"/>
    <w:rsid w:val="5E4E539E"/>
    <w:rsid w:val="5E5B2B5A"/>
    <w:rsid w:val="5E5F0687"/>
    <w:rsid w:val="5E620763"/>
    <w:rsid w:val="5E6454D9"/>
    <w:rsid w:val="5E680BE8"/>
    <w:rsid w:val="5E6B7FF0"/>
    <w:rsid w:val="5E78050E"/>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3A54C2"/>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3031A"/>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31439"/>
    <w:rsid w:val="603771DA"/>
    <w:rsid w:val="603A1B77"/>
    <w:rsid w:val="60447E31"/>
    <w:rsid w:val="604C5236"/>
    <w:rsid w:val="605006BC"/>
    <w:rsid w:val="60584E5C"/>
    <w:rsid w:val="606162D0"/>
    <w:rsid w:val="60674769"/>
    <w:rsid w:val="606A2105"/>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55093"/>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529C9"/>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B2082"/>
    <w:rsid w:val="631C3A36"/>
    <w:rsid w:val="63212420"/>
    <w:rsid w:val="63214DAF"/>
    <w:rsid w:val="632528E5"/>
    <w:rsid w:val="632548A2"/>
    <w:rsid w:val="632936A9"/>
    <w:rsid w:val="632D6DAA"/>
    <w:rsid w:val="632E0749"/>
    <w:rsid w:val="632F06D8"/>
    <w:rsid w:val="63311536"/>
    <w:rsid w:val="63317698"/>
    <w:rsid w:val="63340EAE"/>
    <w:rsid w:val="63403F5C"/>
    <w:rsid w:val="634316F9"/>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9D6371"/>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46A26"/>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D12C2"/>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E2C91"/>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D77084"/>
    <w:rsid w:val="65E91B08"/>
    <w:rsid w:val="65F2016B"/>
    <w:rsid w:val="65F5725F"/>
    <w:rsid w:val="66032E7B"/>
    <w:rsid w:val="66053581"/>
    <w:rsid w:val="66087876"/>
    <w:rsid w:val="6609517F"/>
    <w:rsid w:val="660A19B0"/>
    <w:rsid w:val="660B3A10"/>
    <w:rsid w:val="661026AA"/>
    <w:rsid w:val="661207AA"/>
    <w:rsid w:val="66162989"/>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C4394"/>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E42B7"/>
    <w:rsid w:val="68953116"/>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B7632"/>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1308E"/>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3EAE"/>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9436D"/>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90E3A"/>
    <w:rsid w:val="6ABE4FFD"/>
    <w:rsid w:val="6AD902D6"/>
    <w:rsid w:val="6AD909E0"/>
    <w:rsid w:val="6ADC49EF"/>
    <w:rsid w:val="6ADD44FB"/>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2B4B2D"/>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61C8B"/>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0185E"/>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CF21B6"/>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5C2FF1"/>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1C088B"/>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92A80"/>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414A0"/>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2DE4"/>
    <w:rsid w:val="70910C43"/>
    <w:rsid w:val="709223F1"/>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00524"/>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306DE"/>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0374B"/>
    <w:rsid w:val="73254DFB"/>
    <w:rsid w:val="7326097A"/>
    <w:rsid w:val="73267BB8"/>
    <w:rsid w:val="732A4A9B"/>
    <w:rsid w:val="733202B6"/>
    <w:rsid w:val="73323775"/>
    <w:rsid w:val="73343997"/>
    <w:rsid w:val="73370B0A"/>
    <w:rsid w:val="733C723A"/>
    <w:rsid w:val="733C7C6A"/>
    <w:rsid w:val="73425DF8"/>
    <w:rsid w:val="734E1729"/>
    <w:rsid w:val="73510529"/>
    <w:rsid w:val="7354691F"/>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A52DA"/>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E83B00"/>
    <w:rsid w:val="75F52CE2"/>
    <w:rsid w:val="75F75D00"/>
    <w:rsid w:val="75F8074C"/>
    <w:rsid w:val="7600209C"/>
    <w:rsid w:val="760049B0"/>
    <w:rsid w:val="760200DC"/>
    <w:rsid w:val="760218FE"/>
    <w:rsid w:val="76070A73"/>
    <w:rsid w:val="761014A5"/>
    <w:rsid w:val="76213B4B"/>
    <w:rsid w:val="76240922"/>
    <w:rsid w:val="76250B12"/>
    <w:rsid w:val="762B7A6C"/>
    <w:rsid w:val="762D3356"/>
    <w:rsid w:val="762D70E7"/>
    <w:rsid w:val="7630359D"/>
    <w:rsid w:val="76337691"/>
    <w:rsid w:val="763B42FB"/>
    <w:rsid w:val="763D17BB"/>
    <w:rsid w:val="763D4BE9"/>
    <w:rsid w:val="763E69A1"/>
    <w:rsid w:val="763F1F92"/>
    <w:rsid w:val="76424474"/>
    <w:rsid w:val="76437632"/>
    <w:rsid w:val="76451CD6"/>
    <w:rsid w:val="76451E5F"/>
    <w:rsid w:val="76452780"/>
    <w:rsid w:val="764B66A1"/>
    <w:rsid w:val="764D66D2"/>
    <w:rsid w:val="764D7034"/>
    <w:rsid w:val="764F7670"/>
    <w:rsid w:val="7650794E"/>
    <w:rsid w:val="76526C65"/>
    <w:rsid w:val="76557EC3"/>
    <w:rsid w:val="76587361"/>
    <w:rsid w:val="765F0FBA"/>
    <w:rsid w:val="7663100B"/>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3292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07FFA"/>
    <w:rsid w:val="782466AD"/>
    <w:rsid w:val="782A738E"/>
    <w:rsid w:val="78306028"/>
    <w:rsid w:val="78316382"/>
    <w:rsid w:val="78326BCF"/>
    <w:rsid w:val="78355626"/>
    <w:rsid w:val="783643C3"/>
    <w:rsid w:val="78375EBD"/>
    <w:rsid w:val="783A01F4"/>
    <w:rsid w:val="783B0AD1"/>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1D480C"/>
    <w:rsid w:val="79213934"/>
    <w:rsid w:val="79221399"/>
    <w:rsid w:val="792329CB"/>
    <w:rsid w:val="792378FC"/>
    <w:rsid w:val="792C23E8"/>
    <w:rsid w:val="7930058A"/>
    <w:rsid w:val="793248F9"/>
    <w:rsid w:val="79350D11"/>
    <w:rsid w:val="79351894"/>
    <w:rsid w:val="793D58F9"/>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22487"/>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72B5"/>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6552E"/>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D5B56"/>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16D6E"/>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44641"/>
    <w:rsid w:val="7DD7657D"/>
    <w:rsid w:val="7DDA6C39"/>
    <w:rsid w:val="7DE15552"/>
    <w:rsid w:val="7DE16744"/>
    <w:rsid w:val="7DE653AB"/>
    <w:rsid w:val="7DE71438"/>
    <w:rsid w:val="7DEB2C44"/>
    <w:rsid w:val="7DED0633"/>
    <w:rsid w:val="7DF464FC"/>
    <w:rsid w:val="7DFE63E1"/>
    <w:rsid w:val="7E006A11"/>
    <w:rsid w:val="7E043ED9"/>
    <w:rsid w:val="7E0471DB"/>
    <w:rsid w:val="7E104623"/>
    <w:rsid w:val="7E1C55F3"/>
    <w:rsid w:val="7E202566"/>
    <w:rsid w:val="7E222965"/>
    <w:rsid w:val="7E293001"/>
    <w:rsid w:val="7E2D6A9A"/>
    <w:rsid w:val="7E2E7D3F"/>
    <w:rsid w:val="7E2F1D57"/>
    <w:rsid w:val="7E330B2F"/>
    <w:rsid w:val="7E347694"/>
    <w:rsid w:val="7E3B5911"/>
    <w:rsid w:val="7E452536"/>
    <w:rsid w:val="7E481FBB"/>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335E7"/>
    <w:rsid w:val="7EC57DB4"/>
    <w:rsid w:val="7EC9173B"/>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434CC"/>
    <w:rsid w:val="7F6339F7"/>
    <w:rsid w:val="7F7851E2"/>
    <w:rsid w:val="7F7E49B6"/>
    <w:rsid w:val="7F8403DB"/>
    <w:rsid w:val="7F8660CD"/>
    <w:rsid w:val="7F8A2E2C"/>
    <w:rsid w:val="7F963419"/>
    <w:rsid w:val="7F98528E"/>
    <w:rsid w:val="7FA069EC"/>
    <w:rsid w:val="7FA11DE1"/>
    <w:rsid w:val="7FA31168"/>
    <w:rsid w:val="7FB351E6"/>
    <w:rsid w:val="7FB422D4"/>
    <w:rsid w:val="7FCE5F2D"/>
    <w:rsid w:val="7FD277AE"/>
    <w:rsid w:val="7FDA0ECC"/>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character" w:customStyle="1" w:styleId="109">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484</Words>
  <Characters>2541</Characters>
  <Lines>82</Lines>
  <Paragraphs>23</Paragraphs>
  <TotalTime>0</TotalTime>
  <ScaleCrop>false</ScaleCrop>
  <LinksUpToDate>false</LinksUpToDate>
  <CharactersWithSpaces>3044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2025-02-07T15:27:40Z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